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99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9497"/>
      </w:tblGrid>
      <w:tr w:rsidR="003256CC" w:rsidRPr="003256CC" w14:paraId="36E534D8" w14:textId="77777777" w:rsidTr="00D17694">
        <w:tc>
          <w:tcPr>
            <w:tcW w:w="1702" w:type="dxa"/>
            <w:vAlign w:val="center"/>
          </w:tcPr>
          <w:p w14:paraId="1ABCF11A" w14:textId="77777777" w:rsidR="001B75D4" w:rsidRPr="003256CC" w:rsidRDefault="001B75D4" w:rsidP="003256C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256CC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 wp14:anchorId="133C4966" wp14:editId="0AD899D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-824230</wp:posOffset>
                  </wp:positionV>
                  <wp:extent cx="885825" cy="975995"/>
                  <wp:effectExtent l="0" t="0" r="9525" b="0"/>
                  <wp:wrapSquare wrapText="bothSides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c36b22e9ae361bd38f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97" w:type="dxa"/>
          </w:tcPr>
          <w:p w14:paraId="5D7A41DE" w14:textId="77777777" w:rsidR="001B75D4" w:rsidRPr="003256CC" w:rsidRDefault="001B75D4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BAN CHỈ ĐẠO PHÒNG CHỐNG COVID-19</w:t>
            </w:r>
            <w:r w:rsidR="003131F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THÀNH PHỐ HỒ CHÍ MINH</w:t>
            </w:r>
          </w:p>
          <w:p w14:paraId="363DD02B" w14:textId="3962CBD9" w:rsidR="001B75D4" w:rsidRPr="003256CC" w:rsidRDefault="001B75D4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 TIN BÁO CHÍ</w:t>
            </w:r>
            <w:r w:rsidR="003131F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VỀ CÔNG TÁC PHÒNG CHỐNG DỊCH COVID-19</w:t>
            </w:r>
            <w:r w:rsidR="003131F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TRÊN ĐỊA BÀN THÀNH PHỐ NGÀY </w:t>
            </w:r>
            <w:r w:rsidR="00F4403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B36AEA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F711E4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5D1D47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3131F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202</w:t>
            </w:r>
            <w:r w:rsidR="002D2968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16216C13" w14:textId="27264244" w:rsidR="00244DCC" w:rsidRPr="003256CC" w:rsidRDefault="00244DCC" w:rsidP="003256CC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báo</w:t>
            </w:r>
            <w:proofErr w:type="spellEnd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số</w:t>
            </w:r>
            <w:proofErr w:type="spellEnd"/>
            <w:r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558BF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F44031" w:rsidRPr="003256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  <w:p w14:paraId="7C67D862" w14:textId="4F6B11ED" w:rsidR="001B75D4" w:rsidRPr="003256CC" w:rsidRDefault="001B75D4" w:rsidP="003256C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1F7BCAB" w14:textId="41874A70" w:rsidR="00F44031" w:rsidRPr="003256CC" w:rsidRDefault="003131F1" w:rsidP="003256CC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bookmarkStart w:id="0" w:name="_Hlk47372468"/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16</w:t>
      </w:r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giờ</w:t>
      </w:r>
      <w:proofErr w:type="spellEnd"/>
      <w:r w:rsidR="00BA19A6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D2968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/6</w:t>
      </w:r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/202</w:t>
      </w:r>
      <w:r w:rsidR="002D2968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Ban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bookmarkStart w:id="1" w:name="_Hlk35366818"/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TPHCM </w:t>
      </w:r>
      <w:bookmarkEnd w:id="1"/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giao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diễn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ra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ủy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Anh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Phó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tịch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UBND TP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Ngô</w:t>
      </w:r>
      <w:proofErr w:type="spellEnd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Minh </w:t>
      </w:r>
      <w:proofErr w:type="spellStart"/>
      <w:r w:rsidR="00F25DA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Châu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chủ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trì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cuộc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họp</w:t>
      </w:r>
      <w:proofErr w:type="spellEnd"/>
      <w:r w:rsidR="00F44031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 </w:t>
      </w:r>
    </w:p>
    <w:p w14:paraId="4A37F2AC" w14:textId="78EC1D43" w:rsidR="00BA19A6" w:rsidRPr="003256CC" w:rsidRDefault="00BA19A6" w:rsidP="003256CC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Tham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dự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7558BF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đại</w:t>
      </w:r>
      <w:proofErr w:type="spellEnd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diện</w:t>
      </w:r>
      <w:proofErr w:type="spellEnd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lãnh</w:t>
      </w:r>
      <w:proofErr w:type="spellEnd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F711E4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ngành</w:t>
      </w:r>
      <w:proofErr w:type="spellEnd"/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228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đơn</w:t>
      </w:r>
      <w:proofErr w:type="spellEnd"/>
      <w:r w:rsidR="00CD228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D228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vị</w:t>
      </w:r>
      <w:proofErr w:type="spellEnd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quận </w:t>
      </w:r>
      <w:r w:rsidR="00E55F4E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huyện</w:t>
      </w:r>
      <w:r w:rsidR="007558BF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TP </w:t>
      </w:r>
      <w:proofErr w:type="spellStart"/>
      <w:r w:rsidR="007558BF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="007558BF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58BF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Đức</w:t>
      </w:r>
      <w:proofErr w:type="spellEnd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BD3012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Ban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đạo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chống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dịch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253975" w:rsidRPr="003256C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Thành phố.</w:t>
      </w:r>
    </w:p>
    <w:bookmarkEnd w:id="0"/>
    <w:p w14:paraId="59CC6249" w14:textId="41ABA58E" w:rsidR="003131F1" w:rsidRPr="003256CC" w:rsidRDefault="00A62511" w:rsidP="000113AE">
      <w:pPr>
        <w:spacing w:before="120" w:after="0" w:line="240" w:lineRule="auto"/>
        <w:ind w:firstLine="810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1.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Tóm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tắt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chung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về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diễn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biến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dịch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bệnh</w:t>
      </w:r>
      <w:proofErr w:type="spellEnd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ngày</w:t>
      </w:r>
      <w:proofErr w:type="spellEnd"/>
      <w:r w:rsidR="005D1D47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4</w:t>
      </w:r>
      <w:r w:rsidR="00B36AEA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</w:t>
      </w:r>
      <w:r w:rsidR="00F711E4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6</w:t>
      </w:r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/202</w:t>
      </w:r>
      <w:r w:rsidR="00610056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1</w:t>
      </w:r>
      <w:r w:rsidR="003131F1" w:rsidRPr="003256C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:</w:t>
      </w:r>
    </w:p>
    <w:p w14:paraId="0872277B" w14:textId="25988D33" w:rsidR="00DA2143" w:rsidRPr="003256CC" w:rsidRDefault="00DA2143" w:rsidP="000113AE">
      <w:pPr>
        <w:pStyle w:val="ListParagraph"/>
        <w:spacing w:before="120" w:after="0" w:line="240" w:lineRule="auto"/>
        <w:ind w:left="0" w:firstLine="810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vi-VN"/>
        </w:rPr>
        <w:t>1.</w:t>
      </w:r>
      <w:r w:rsidR="00BD3012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 </w:t>
      </w:r>
      <w:proofErr w:type="spellStart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Tình</w:t>
      </w:r>
      <w:proofErr w:type="spellEnd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hình</w:t>
      </w:r>
      <w:proofErr w:type="spellEnd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dịch</w:t>
      </w:r>
      <w:proofErr w:type="spellEnd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="00BA19A6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</w:t>
      </w:r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AE8CA84" w14:textId="5C91BECD" w:rsidR="00F711E4" w:rsidRPr="003256CC" w:rsidRDefault="00AC4621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574</w:t>
      </w:r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mắc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TPHCM</w:t>
      </w:r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bố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33</w:t>
      </w:r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nhiễm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63,94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%)</w:t>
      </w:r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4031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203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35,36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</w:t>
      </w:r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04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lây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711E4"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VNA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(0,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70</w:t>
      </w:r>
      <w:r w:rsidR="00F711E4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%). </w:t>
      </w:r>
    </w:p>
    <w:p w14:paraId="1FADF077" w14:textId="6F3E0899" w:rsidR="00F711E4" w:rsidRPr="003256CC" w:rsidRDefault="00F711E4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26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8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điều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khỏi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chiếm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tỷ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lệ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46,69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%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có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01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nhân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tử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vong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chiếm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tỷ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lệ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0,17% (BN5463)</w:t>
      </w:r>
    </w:p>
    <w:p w14:paraId="6EEEB5C8" w14:textId="7DC89D22" w:rsidR="00F711E4" w:rsidRPr="003256CC" w:rsidRDefault="00F711E4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ab/>
        <w:t xml:space="preserve">-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đang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điều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trị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305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nhân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dương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mới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.</w:t>
      </w:r>
    </w:p>
    <w:p w14:paraId="56C0AE78" w14:textId="4AE79C24" w:rsidR="00F44031" w:rsidRPr="003256CC" w:rsidRDefault="00F711E4" w:rsidP="000113AE">
      <w:pPr>
        <w:tabs>
          <w:tab w:val="left" w:pos="851"/>
          <w:tab w:val="left" w:pos="993"/>
          <w:tab w:val="left" w:pos="1134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ra,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đới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03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Covid-19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01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khoa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Giang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Đa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khoa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Long An.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đều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trạng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rất</w:t>
      </w:r>
      <w:proofErr w:type="spellEnd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nặng</w:t>
      </w:r>
      <w:proofErr w:type="spellEnd"/>
      <w:r w:rsidR="000F6F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435CDB9" w14:textId="22B0EA51" w:rsidR="007558BF" w:rsidRPr="003256CC" w:rsidRDefault="00B36AEA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1.2.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Kết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quả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điều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tra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giám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sát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các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trường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hợp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tiếp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xúc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hoặc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liên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quan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đến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bệnh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nhân</w:t>
      </w:r>
      <w:proofErr w:type="spellEnd"/>
      <w:r w:rsidR="007558BF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dương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tính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mới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và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nghi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ngờ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dương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tính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>ngày</w:t>
      </w:r>
      <w:proofErr w:type="spellEnd"/>
      <w:r w:rsidR="00F44031" w:rsidRPr="003256C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eastAsia="vi-VN"/>
        </w:rPr>
        <w:t xml:space="preserve"> 4/6</w:t>
      </w:r>
    </w:p>
    <w:p w14:paraId="1C779CAA" w14:textId="77777777" w:rsidR="00FD1788" w:rsidRPr="003256CC" w:rsidRDefault="00F44031" w:rsidP="000113AE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18/5/2021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hết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03/6/2021, </w:t>
      </w:r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TPHCM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chuỗi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298 ca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gồm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biên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Anh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Ấn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197AAF47" w14:textId="14EE5855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Ổ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ty </w:t>
      </w:r>
      <w:r w:rsidR="000F6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ở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3: 02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(BN4514, BN4583)</w:t>
      </w:r>
      <w:r w:rsidR="000F6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0F6F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18/5,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thêm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mắc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6C29F8BF" w14:textId="77777777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Ổ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bánh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ở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3: 05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21/5 (BN4780, BN4781, BN4782, BN5329, BN5463).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02/6/2021,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thêm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02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xúc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gần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dương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(BN7761, BN7762).</w:t>
      </w:r>
    </w:p>
    <w:p w14:paraId="5CBD9897" w14:textId="77777777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Ổ</w:t>
      </w:r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giáo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281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dương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bố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26/5. </w:t>
      </w:r>
    </w:p>
    <w:p w14:paraId="055EB5A2" w14:textId="77777777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08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phát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Phú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(4);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Nam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Sài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Gòn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(1);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Khang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(1);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440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FV (02). </w:t>
      </w:r>
    </w:p>
    <w:p w14:paraId="6FB085E4" w14:textId="6956A906" w:rsidR="00F44031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1</w:t>
      </w:r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.3.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Giám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sát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sàng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lọc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người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có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triệu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chứng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hô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hấp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đến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cơ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sở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khám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chữa</w:t>
      </w:r>
      <w:proofErr w:type="spellEnd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440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</w:p>
    <w:p w14:paraId="0034AF77" w14:textId="77777777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lũy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triệu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chứng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hô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hấp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chữa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2.619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67DA65" w14:textId="77777777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1.4.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Giám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sát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nguy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</w:p>
    <w:p w14:paraId="236334CA" w14:textId="0F13B246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nhiệt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đối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15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quốc tế gồm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50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bay;</w:t>
      </w: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2.307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04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tàu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lửa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5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82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14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tàu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hải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với</w:t>
      </w:r>
      <w:proofErr w:type="spellEnd"/>
      <w:r w:rsidRPr="00325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256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thuyền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CB71EB8" w14:textId="7819E782" w:rsidR="00FD1788" w:rsidRPr="003256CC" w:rsidRDefault="00FD1788" w:rsidP="003256CC">
      <w:pPr>
        <w:tabs>
          <w:tab w:val="left" w:pos="900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Tổ bay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quốc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22/4/2020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nay,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xét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nghiệm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kiểm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19.536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viên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tổ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bay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3.992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bay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thuộc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18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hãng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quốc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19.483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quả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25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đang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chờ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quả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23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được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Bộ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bố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hợp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xuất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cảnh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về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nước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018C9755" w14:textId="2E8B88C4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268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xuất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ở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TP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chuyển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qua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9650AE" w14:textId="147CD25C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Theo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sức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khỏe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8.415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(bao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gồm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tỉnh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TP),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7.860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gian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555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tục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dõi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A1CA8C" w14:textId="4D892AFF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22/12/2020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hoàn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3.341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4DC183A" w14:textId="234487A0" w:rsidR="00FD1788" w:rsidRPr="003256CC" w:rsidRDefault="00FD1788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4A9A4E4C" w14:textId="6E05A5B1" w:rsidR="00FD1788" w:rsidRPr="003256CC" w:rsidRDefault="00F92531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</w:t>
      </w:r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15/9/2020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05/02/2021,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8.364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bao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gồm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trị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nội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trú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CBAA2A9" w14:textId="7B7D7CB1" w:rsidR="00FD1788" w:rsidRPr="003256CC" w:rsidRDefault="00F92531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</w:t>
      </w:r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06/02/2021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14/4/2021,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20.626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EFEFA32" w14:textId="40484C42" w:rsidR="00FD1788" w:rsidRPr="003256CC" w:rsidRDefault="00F92531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</w:t>
      </w:r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07/5/2021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17/5/2021,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bằng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80.748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(50.191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30.557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),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D178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4C7E25FE" w14:textId="3BD38A56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99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định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bay: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30/01/2021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đợt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bay.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26.319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26.314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05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D4B125" w14:textId="7100C51E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nhập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cảnh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  <w:r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cận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2.926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chuyên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âm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B4284DD" w14:textId="287AB391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đồng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1F00A05" w14:textId="6149BC29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+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tháng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4/2020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10/3/2021,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45.601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bao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gồm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nhóm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tiểu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tài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vùng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nước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bay, ga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tàu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lửa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xe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phục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vụ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quán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ăn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sạn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tôn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giáo.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đều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tính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0BD45D9" w14:textId="0BDA2001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+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30/4/2021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27/5/2021,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dựa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nhóm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cao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vui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giải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trí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lưu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cư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…):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64.467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tất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âm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EE57F4C" w14:textId="273CF2FD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Giám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15514A1F" w14:textId="1E0CF6A4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+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bay: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trở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TP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: 9.901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tất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âm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A9553FC" w14:textId="7F0D96B0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ab/>
        <w:t xml:space="preserve">+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dân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trong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cộng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đồng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lao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động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tại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cơ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quan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đơn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vị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: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232.301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khai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báo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trong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tổng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số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xét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nghiệm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lấy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là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1.450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mẫu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kết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quả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âm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tính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vi-VN"/>
        </w:rPr>
        <w:t>.</w:t>
      </w:r>
    </w:p>
    <w:p w14:paraId="7DC3EABF" w14:textId="4A794770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+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Tầm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về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Giang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Bắc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Ninh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Nẵng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dịp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nghỉ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30/4 - 1/5.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21/5/2021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nay,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tổng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lấy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mẫu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xét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nghiệm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4.044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4.021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23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chờ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A2C2B33" w14:textId="3D6EE560" w:rsidR="00F92531" w:rsidRPr="003256CC" w:rsidRDefault="003256CC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1.5.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Tổ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chức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y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tế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cho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nhập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cảnh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tiếp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xúc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ca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bệnh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về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từ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vùng</w:t>
      </w:r>
      <w:proofErr w:type="spellEnd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dịch</w:t>
      </w:r>
      <w:proofErr w:type="spellEnd"/>
    </w:p>
    <w:p w14:paraId="64F5B265" w14:textId="62626F70" w:rsidR="00F92531" w:rsidRPr="003256CC" w:rsidRDefault="003256CC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-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Số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đang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tập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6.650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đó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2.180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1.670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2.232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chuyên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gia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ngoài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bay..</w:t>
      </w:r>
      <w:proofErr w:type="spellStart"/>
      <w:proofErr w:type="gram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thu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phí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295030" w14:textId="7559F42D" w:rsidR="00F92531" w:rsidRPr="003256CC" w:rsidRDefault="003256CC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/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trú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="00F92531"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13.234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04BA41FF" w14:textId="16F9500C" w:rsidR="00F92531" w:rsidRPr="003256CC" w:rsidRDefault="003256CC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1.6.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Tổ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chức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xét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nghiệm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Covid-19: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lũy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nhóm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tượng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584.076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20g00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03/6/2021),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TP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237.110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3EA899" w14:textId="75808CD6" w:rsidR="00F92531" w:rsidRPr="003256CC" w:rsidRDefault="003256CC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1.7.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Tiêm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chủng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vắc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xin</w:t>
      </w:r>
      <w:proofErr w:type="spellEnd"/>
      <w:r w:rsidR="00F92531" w:rsidRPr="003256CC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 xml:space="preserve"> phòng Covid-19</w:t>
      </w:r>
    </w:p>
    <w:p w14:paraId="15D6A949" w14:textId="604D6268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08/3/2021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19/4/2021,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đợt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9.155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73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dõi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ổn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E5903EF" w14:textId="13C50700" w:rsidR="00F92531" w:rsidRPr="003256CC" w:rsidRDefault="00F92531" w:rsidP="003256CC">
      <w:pPr>
        <w:tabs>
          <w:tab w:val="left" w:pos="851"/>
        </w:tabs>
        <w:spacing w:before="120"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19/4/2021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23/5/2021,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đợt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64.416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(55.512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mũi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1; 8.904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mũi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2).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dõi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đều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ổn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57915079" w14:textId="77777777" w:rsidR="000F6F5B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hoạch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đợt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3,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mũi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bắt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ngày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3/6/2021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tượng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ưu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Ban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ovid</w:t>
      </w:r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-19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cộng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sân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bay,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biển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7BCDBB20" w14:textId="70CCD2F1" w:rsidR="00F92531" w:rsidRPr="003256CC" w:rsidRDefault="000F6F5B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</w:t>
      </w:r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iêm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mũi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tượng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đã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mũi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sau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8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tuần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dự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kiến</w:t>
      </w:r>
      <w:proofErr w:type="spellEnd"/>
      <w:r w:rsidR="007C3E08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tuần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tháng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6 </w:t>
      </w:r>
      <w:proofErr w:type="spellStart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năm</w:t>
      </w:r>
      <w:proofErr w:type="spellEnd"/>
      <w:r w:rsidR="00F92531"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2021.</w:t>
      </w:r>
    </w:p>
    <w:p w14:paraId="03EFABCF" w14:textId="35886B47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2.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biện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pháp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tiếp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tục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triển</w:t>
      </w:r>
      <w:proofErr w:type="spellEnd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</w:t>
      </w:r>
      <w:proofErr w:type="spellEnd"/>
    </w:p>
    <w:p w14:paraId="4D884B66" w14:textId="709A22D1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Tiếp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tục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tướng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Ban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Chỉ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quốc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UBND TP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về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</w:p>
    <w:p w14:paraId="25410F93" w14:textId="1A8FDD35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Tăng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cường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điều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vết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khoanh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vùng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dập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dịch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triệt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đê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̉,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xét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nghiệm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mơ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̉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rộng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các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vực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có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cao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đê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̉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tìm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kiếm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nguồn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lây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1372A5B7" w14:textId="77777777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Tăng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kiểm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phòng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chống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địa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phố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.</w:t>
      </w:r>
    </w:p>
    <w:p w14:paraId="24E82921" w14:textId="77777777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Tiếp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tục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pháp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kiểm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nhập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vào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phố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C25F2AD" w14:textId="0786EB05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Sẵn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phương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án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xử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lý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huống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Covid-19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đồng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;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xây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dựng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kế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hoạch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tăng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năng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xét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nghiệm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Covid-19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và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tổ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chức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ly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điều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tình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huống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5.000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lang w:eastAsia="vi-VN"/>
        </w:rPr>
        <w:t xml:space="preserve"> </w:t>
      </w:r>
      <w:r w:rsidRPr="003256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Covid-19</w:t>
      </w:r>
    </w:p>
    <w:p w14:paraId="64369247" w14:textId="54309ABF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ban,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địa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tổ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chức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trì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mức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cảnh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cao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nhất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đối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với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huy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lượng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tham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gia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phòng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chống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dịch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Covid-19: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nghiêm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túc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nguyên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tắc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5K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Bộ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mọi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hoạt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sản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xuất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kinh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doanh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học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tập</w:t>
      </w:r>
      <w:proofErr w:type="spellEnd"/>
      <w:r w:rsidR="003933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878AB39" w14:textId="234A3BE9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giãn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Thành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phố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15/CT-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TTg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27/3/2020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Riêng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3487">
        <w:rPr>
          <w:rFonts w:ascii="Times New Roman" w:hAnsi="Times New Roman" w:cs="Times New Roman"/>
          <w:color w:val="000000" w:themeColor="text1"/>
          <w:sz w:val="28"/>
          <w:szCs w:val="28"/>
        </w:rPr>
        <w:t>q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uận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Gò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Vấp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D3487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Thạnh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Lộc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giãn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theo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Chỉ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16/CT-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TTg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ngày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31/3/2020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của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tướng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Chính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336EBA" w14:textId="77777777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mọi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cần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thiết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tổ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chức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dưới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5K.</w:t>
      </w:r>
    </w:p>
    <w:p w14:paraId="1ACC95B9" w14:textId="653B6FCA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Dừng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triệt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lễ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tôn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tín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thờ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tự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dừng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loại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hoạt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Trung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tâm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thương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siêu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thị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máy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trò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có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thư</w:t>
      </w:r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ở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casino (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sạn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Thành phố.</w:t>
      </w:r>
    </w:p>
    <w:p w14:paraId="52F02AF6" w14:textId="2C26AC9E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khích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công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ty</w:t>
      </w:r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doanh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nghiệp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tuyến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nước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sắp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xếp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nhân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sự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nhà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trường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hợp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tại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cơ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quan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>phải</w:t>
      </w:r>
      <w:proofErr w:type="spellEnd"/>
      <w:r w:rsidR="000113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tuân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thủ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5K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quá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làm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A9B3AF" w14:textId="77777777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nếu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nội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trú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thì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phong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tỏa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kiểm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soát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được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hình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phát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sàng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lọc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trước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vào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tiếp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nhận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để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khử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khuẩn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vệ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sinh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toàn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bộ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vực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người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bệnh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đến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Triển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khai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báo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tế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điện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tử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cho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tất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cả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phòng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khám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trên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địa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bàn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B8FC4C" w14:textId="3936979F" w:rsidR="007C3E08" w:rsidRPr="003256CC" w:rsidRDefault="007C3E08" w:rsidP="003256CC">
      <w:pPr>
        <w:tabs>
          <w:tab w:val="left" w:pos="851"/>
        </w:tabs>
        <w:spacing w:before="120" w:after="0" w:line="240" w:lineRule="auto"/>
        <w:ind w:firstLine="81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quận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huyện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mở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rộng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khu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cách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ly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tối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thiểu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</w:t>
      </w:r>
      <w:proofErr w:type="spellStart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giường</w:t>
      </w:r>
      <w:proofErr w:type="spellEnd"/>
      <w:r w:rsidRPr="003256C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19C97A5" w14:textId="6566A2FA" w:rsidR="00304767" w:rsidRPr="003256CC" w:rsidRDefault="00676151" w:rsidP="003256CC">
      <w:pPr>
        <w:spacing w:before="120" w:after="0" w:line="240" w:lineRule="auto"/>
        <w:ind w:firstLine="81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3</w:t>
      </w:r>
      <w:r w:rsidR="00304767"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. Ý </w:t>
      </w:r>
      <w:proofErr w:type="spellStart"/>
      <w:r w:rsidR="00304767"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kiến</w:t>
      </w:r>
      <w:proofErr w:type="spellEnd"/>
      <w:r w:rsidR="00304767"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C079A"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của</w:t>
      </w:r>
      <w:proofErr w:type="spellEnd"/>
      <w:r w:rsidR="005C079A" w:rsidRPr="003256CC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25D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>Phó</w:t>
      </w:r>
      <w:proofErr w:type="spellEnd"/>
      <w:r w:rsidR="00F25DAE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Chủ</w:t>
      </w:r>
      <w:proofErr w:type="spellEnd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tịch</w:t>
      </w:r>
      <w:proofErr w:type="spellEnd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UBND </w:t>
      </w:r>
      <w:proofErr w:type="spellStart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Thành</w:t>
      </w:r>
      <w:proofErr w:type="spellEnd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phố</w:t>
      </w:r>
      <w:proofErr w:type="spellEnd"/>
      <w:r w:rsidR="009F5C1D" w:rsidRPr="003256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25D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Dương Anh Đức</w:t>
      </w:r>
    </w:p>
    <w:p w14:paraId="30DB7AD8" w14:textId="10100EBF" w:rsidR="003950D7" w:rsidRDefault="003950D7" w:rsidP="003950D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Minh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Châu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cuộc</w:t>
      </w:r>
      <w:proofErr w:type="spellEnd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Dương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Anh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Đức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thiết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đáp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mắt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tính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toán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dài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Tuyệt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hoang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mang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diễn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biến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9F0BF98" w14:textId="314E1888" w:rsidR="009A3C6E" w:rsidRDefault="009A3C6E" w:rsidP="003950D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Theo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tịch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14:paraId="1C0FE490" w14:textId="41184BE0" w:rsidR="009A3C6E" w:rsidRDefault="009A3C6E" w:rsidP="009A3C6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phong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tỏa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năng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chặt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chẽ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nhưng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được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máy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móc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ảnh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P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dân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98D20A4" w14:textId="1B1A17AD" w:rsidR="009A3C6E" w:rsidRDefault="009A3C6E" w:rsidP="009A3C6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Sở 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đạo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rộng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F3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đón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tốc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nhanh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sẵn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sàng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bước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tiếp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theo.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AC69600" w14:textId="6A050E63" w:rsidR="009A3C6E" w:rsidRDefault="00535626" w:rsidP="009A3C6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UBND TP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ý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quận </w:t>
      </w:r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Giao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khẩn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trương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rà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hướng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dẫn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thu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phí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khách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sạn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đủ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điều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kiện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đáp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bệnh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Tuyệt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xảy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chéo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4D80732" w14:textId="060C7AE8" w:rsidR="009A3C6E" w:rsidRDefault="009A3C6E" w:rsidP="009A3C6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ngừa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lượng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0F5FFEA" w14:textId="77777777" w:rsidR="004647D3" w:rsidRDefault="004647D3" w:rsidP="004647D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xét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tiến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100%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điểm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tổ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lấy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tầm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soát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thức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gộp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mẫu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0C395942" w14:textId="628A5E76" w:rsidR="009A3C6E" w:rsidRDefault="004647D3" w:rsidP="009A3C6E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Ngoài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</w:t>
      </w:r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hối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nghệ</w:t>
      </w:r>
      <w:proofErr w:type="spellEnd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</w:t>
      </w:r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E50B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nhanh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hơn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ổ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vực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5356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Covid-19. </w:t>
      </w:r>
    </w:p>
    <w:p w14:paraId="2BA584C3" w14:textId="50D4D55A" w:rsidR="003950D7" w:rsidRDefault="00535626" w:rsidP="003950D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Vấp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giãn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16, </w:t>
      </w:r>
      <w:proofErr w:type="spellStart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giao</w:t>
      </w:r>
      <w:proofErr w:type="spellEnd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Truyền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phối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hỗ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trợ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ngành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đẩy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mạnh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ứng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dụng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nghệ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triển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khai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trực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tuyến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mức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3, 4,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góp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phần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phòng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chống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dịch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hiệu</w:t>
      </w:r>
      <w:proofErr w:type="spellEnd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950D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172A15A1" w14:textId="589054BF" w:rsidR="001E234E" w:rsidRDefault="00535626" w:rsidP="003950D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vấn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rác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thải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tiềm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ẩn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lây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nhiễm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Covid-19, </w:t>
      </w:r>
      <w:proofErr w:type="spellStart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giao</w:t>
      </w:r>
      <w:proofErr w:type="spellEnd"/>
      <w:r w:rsidR="004647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Tài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nguyên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Môi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Môi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phương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án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đúng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báo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Thành phố. </w:t>
      </w:r>
    </w:p>
    <w:p w14:paraId="2C84D32A" w14:textId="10D32822" w:rsidR="001E234E" w:rsidRDefault="004647D3" w:rsidP="003950D7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nay,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tích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cực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cùng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nhà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hảo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tâm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kiếm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nguồn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dân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phố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nhiên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chờ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vắc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xin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triệt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xuyên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yêu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5K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Những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tùy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mức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quyết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răn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đe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58B26FE" w14:textId="4669077A" w:rsidR="004647D3" w:rsidRDefault="004647D3" w:rsidP="004647D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doanh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sớm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cung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cấp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sách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nhân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đầy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…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phục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vết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cầu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3F79741D" w14:textId="1F7A564B" w:rsidR="004647D3" w:rsidRDefault="004647D3" w:rsidP="004647D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tăng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cường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kiểm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tuân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thủ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Bộ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toàn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nghiệp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nghệ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cao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xử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lý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vi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phạm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14:paraId="552A866A" w14:textId="1B4EC8D4" w:rsidR="001E234E" w:rsidRDefault="004647D3" w:rsidP="003256C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8.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Liên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quan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việc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ly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người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về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từ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TPHCM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của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các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thành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phố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mới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đây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là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Giao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tải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Y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nghiên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cứu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tình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hình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thực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kịp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tham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mưu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cho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UBND TP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có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công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văn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trao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đổi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với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tỉnh</w:t>
      </w:r>
      <w:proofErr w:type="spellEnd"/>
      <w:r w:rsidR="001E234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Đồng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Nai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để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giải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quyết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vấn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đề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phù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hợp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nhất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tránh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ảnh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hưởng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đến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hoạt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động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sản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xuất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trên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địa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bàn</w:t>
      </w:r>
      <w:proofErr w:type="spellEnd"/>
      <w:r w:rsidR="009A3C6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62883DDD" w14:textId="77777777" w:rsidR="00F25DAE" w:rsidRDefault="00F25DAE" w:rsidP="003256C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C6A3C5C" w14:textId="3E0BB76A" w:rsidR="00D17694" w:rsidRPr="003256CC" w:rsidRDefault="00B26AAD" w:rsidP="003256CC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</w:t>
      </w:r>
      <w:r w:rsidR="00D17694"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TRUNG TÂM BÁO CHÍ THÀNH PHỐ</w:t>
      </w:r>
      <w:r w:rsidR="00244DCC" w:rsidRPr="003256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HỒ CHÍ MINH</w:t>
      </w:r>
    </w:p>
    <w:sectPr w:rsidR="00D17694" w:rsidRPr="003256CC" w:rsidSect="003C137E">
      <w:pgSz w:w="12240" w:h="15840"/>
      <w:pgMar w:top="1134" w:right="1134" w:bottom="9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FFE6D" w14:textId="77777777" w:rsidR="00780A93" w:rsidRDefault="00780A93" w:rsidP="007B19E4">
      <w:pPr>
        <w:spacing w:after="0" w:line="240" w:lineRule="auto"/>
      </w:pPr>
      <w:r>
        <w:separator/>
      </w:r>
    </w:p>
  </w:endnote>
  <w:endnote w:type="continuationSeparator" w:id="0">
    <w:p w14:paraId="745CD81B" w14:textId="77777777" w:rsidR="00780A93" w:rsidRDefault="00780A93" w:rsidP="007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8DE6" w14:textId="77777777" w:rsidR="00780A93" w:rsidRDefault="00780A93" w:rsidP="007B19E4">
      <w:pPr>
        <w:spacing w:after="0" w:line="240" w:lineRule="auto"/>
      </w:pPr>
      <w:r>
        <w:separator/>
      </w:r>
    </w:p>
  </w:footnote>
  <w:footnote w:type="continuationSeparator" w:id="0">
    <w:p w14:paraId="3056A667" w14:textId="77777777" w:rsidR="00780A93" w:rsidRDefault="00780A93" w:rsidP="007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8EC"/>
    <w:multiLevelType w:val="hybridMultilevel"/>
    <w:tmpl w:val="26E21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5809"/>
    <w:multiLevelType w:val="hybridMultilevel"/>
    <w:tmpl w:val="D4185CF2"/>
    <w:lvl w:ilvl="0" w:tplc="62DADBD4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A480CE1"/>
    <w:multiLevelType w:val="hybridMultilevel"/>
    <w:tmpl w:val="CF5A3FD2"/>
    <w:lvl w:ilvl="0" w:tplc="1D443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7BC0A48"/>
    <w:multiLevelType w:val="multilevel"/>
    <w:tmpl w:val="57BC0A48"/>
    <w:lvl w:ilvl="0">
      <w:numFmt w:val="bullet"/>
      <w:lvlText w:val="-"/>
      <w:lvlJc w:val="left"/>
      <w:pPr>
        <w:ind w:left="568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</w:abstractNum>
  <w:abstractNum w:abstractNumId="4" w15:restartNumberingAfterBreak="0">
    <w:nsid w:val="744836DC"/>
    <w:multiLevelType w:val="hybridMultilevel"/>
    <w:tmpl w:val="CCDA614A"/>
    <w:lvl w:ilvl="0" w:tplc="7C8EF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255C44"/>
    <w:multiLevelType w:val="hybridMultilevel"/>
    <w:tmpl w:val="DBECA640"/>
    <w:lvl w:ilvl="0" w:tplc="B7385BAA">
      <w:start w:val="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5D4"/>
    <w:rsid w:val="00000603"/>
    <w:rsid w:val="000113AE"/>
    <w:rsid w:val="0001501A"/>
    <w:rsid w:val="00024502"/>
    <w:rsid w:val="00024DA1"/>
    <w:rsid w:val="00033E18"/>
    <w:rsid w:val="000454BA"/>
    <w:rsid w:val="000553F4"/>
    <w:rsid w:val="00083285"/>
    <w:rsid w:val="0008634D"/>
    <w:rsid w:val="00086A50"/>
    <w:rsid w:val="000974FF"/>
    <w:rsid w:val="000A41DE"/>
    <w:rsid w:val="000B410F"/>
    <w:rsid w:val="000B5433"/>
    <w:rsid w:val="000C4D80"/>
    <w:rsid w:val="000D19D2"/>
    <w:rsid w:val="000D7D12"/>
    <w:rsid w:val="000E201F"/>
    <w:rsid w:val="000F6F5B"/>
    <w:rsid w:val="000F7365"/>
    <w:rsid w:val="000F7C0B"/>
    <w:rsid w:val="00101C28"/>
    <w:rsid w:val="00103A52"/>
    <w:rsid w:val="00105103"/>
    <w:rsid w:val="00106E0F"/>
    <w:rsid w:val="00110F59"/>
    <w:rsid w:val="001125FA"/>
    <w:rsid w:val="001136D8"/>
    <w:rsid w:val="00115FF7"/>
    <w:rsid w:val="00133E13"/>
    <w:rsid w:val="00147FAC"/>
    <w:rsid w:val="001815CA"/>
    <w:rsid w:val="00182F4E"/>
    <w:rsid w:val="001862F7"/>
    <w:rsid w:val="00187157"/>
    <w:rsid w:val="00187C2C"/>
    <w:rsid w:val="001925A4"/>
    <w:rsid w:val="001A4953"/>
    <w:rsid w:val="001B07E6"/>
    <w:rsid w:val="001B51FC"/>
    <w:rsid w:val="001B75D4"/>
    <w:rsid w:val="001C1EF3"/>
    <w:rsid w:val="001C3931"/>
    <w:rsid w:val="001C4BC6"/>
    <w:rsid w:val="001C6B87"/>
    <w:rsid w:val="001D2CE1"/>
    <w:rsid w:val="001D3F6F"/>
    <w:rsid w:val="001E0573"/>
    <w:rsid w:val="001E170D"/>
    <w:rsid w:val="001E234E"/>
    <w:rsid w:val="001E612A"/>
    <w:rsid w:val="001E6431"/>
    <w:rsid w:val="001E7927"/>
    <w:rsid w:val="001F048A"/>
    <w:rsid w:val="001F274B"/>
    <w:rsid w:val="0020137F"/>
    <w:rsid w:val="00210881"/>
    <w:rsid w:val="00213E64"/>
    <w:rsid w:val="0021507F"/>
    <w:rsid w:val="00215B60"/>
    <w:rsid w:val="002178F1"/>
    <w:rsid w:val="00232839"/>
    <w:rsid w:val="00235987"/>
    <w:rsid w:val="00240300"/>
    <w:rsid w:val="0024112E"/>
    <w:rsid w:val="00241624"/>
    <w:rsid w:val="00244DCC"/>
    <w:rsid w:val="00244EA2"/>
    <w:rsid w:val="002472DD"/>
    <w:rsid w:val="002478DB"/>
    <w:rsid w:val="00250894"/>
    <w:rsid w:val="002521B0"/>
    <w:rsid w:val="00252FFD"/>
    <w:rsid w:val="00253975"/>
    <w:rsid w:val="00255854"/>
    <w:rsid w:val="00266B19"/>
    <w:rsid w:val="002742C8"/>
    <w:rsid w:val="00274D0A"/>
    <w:rsid w:val="00276D7E"/>
    <w:rsid w:val="002872BD"/>
    <w:rsid w:val="00287B85"/>
    <w:rsid w:val="002A2079"/>
    <w:rsid w:val="002A448D"/>
    <w:rsid w:val="002A4A5D"/>
    <w:rsid w:val="002B140D"/>
    <w:rsid w:val="002B53CB"/>
    <w:rsid w:val="002B5541"/>
    <w:rsid w:val="002C0954"/>
    <w:rsid w:val="002D2968"/>
    <w:rsid w:val="002F2D40"/>
    <w:rsid w:val="002F3553"/>
    <w:rsid w:val="00304767"/>
    <w:rsid w:val="00310D99"/>
    <w:rsid w:val="003131F1"/>
    <w:rsid w:val="0031475F"/>
    <w:rsid w:val="003256CC"/>
    <w:rsid w:val="00331855"/>
    <w:rsid w:val="003402FC"/>
    <w:rsid w:val="00345F84"/>
    <w:rsid w:val="00347CD1"/>
    <w:rsid w:val="00347E74"/>
    <w:rsid w:val="00353D77"/>
    <w:rsid w:val="0038679F"/>
    <w:rsid w:val="00390001"/>
    <w:rsid w:val="00390D9B"/>
    <w:rsid w:val="00393354"/>
    <w:rsid w:val="003950D7"/>
    <w:rsid w:val="003A02A6"/>
    <w:rsid w:val="003A2B56"/>
    <w:rsid w:val="003B5058"/>
    <w:rsid w:val="003C137E"/>
    <w:rsid w:val="003D1897"/>
    <w:rsid w:val="003E30D6"/>
    <w:rsid w:val="003E4F54"/>
    <w:rsid w:val="003E6E1C"/>
    <w:rsid w:val="003F6B54"/>
    <w:rsid w:val="00420211"/>
    <w:rsid w:val="004305AE"/>
    <w:rsid w:val="00432365"/>
    <w:rsid w:val="0043601A"/>
    <w:rsid w:val="0043792C"/>
    <w:rsid w:val="00440E2B"/>
    <w:rsid w:val="004448DE"/>
    <w:rsid w:val="00450296"/>
    <w:rsid w:val="00453CF5"/>
    <w:rsid w:val="004647D3"/>
    <w:rsid w:val="00476ECE"/>
    <w:rsid w:val="00490024"/>
    <w:rsid w:val="00496F81"/>
    <w:rsid w:val="004A64E3"/>
    <w:rsid w:val="004A6775"/>
    <w:rsid w:val="004B0D5B"/>
    <w:rsid w:val="004B5191"/>
    <w:rsid w:val="004D28B4"/>
    <w:rsid w:val="004D4B68"/>
    <w:rsid w:val="004D6A2F"/>
    <w:rsid w:val="004D6EF5"/>
    <w:rsid w:val="004E0339"/>
    <w:rsid w:val="005052F3"/>
    <w:rsid w:val="00533285"/>
    <w:rsid w:val="00535626"/>
    <w:rsid w:val="00545539"/>
    <w:rsid w:val="0054672C"/>
    <w:rsid w:val="00556222"/>
    <w:rsid w:val="005604BC"/>
    <w:rsid w:val="00561007"/>
    <w:rsid w:val="00563CA7"/>
    <w:rsid w:val="00583B81"/>
    <w:rsid w:val="005846C5"/>
    <w:rsid w:val="00594466"/>
    <w:rsid w:val="005A22B0"/>
    <w:rsid w:val="005A37D1"/>
    <w:rsid w:val="005B31E8"/>
    <w:rsid w:val="005B4F8E"/>
    <w:rsid w:val="005B534A"/>
    <w:rsid w:val="005C079A"/>
    <w:rsid w:val="005D1D47"/>
    <w:rsid w:val="005D35EC"/>
    <w:rsid w:val="005E5D0F"/>
    <w:rsid w:val="005F53AE"/>
    <w:rsid w:val="006006E0"/>
    <w:rsid w:val="00610056"/>
    <w:rsid w:val="00616CFC"/>
    <w:rsid w:val="0062553B"/>
    <w:rsid w:val="0062695C"/>
    <w:rsid w:val="00644D94"/>
    <w:rsid w:val="006501F6"/>
    <w:rsid w:val="00662A8C"/>
    <w:rsid w:val="00672CDA"/>
    <w:rsid w:val="00676151"/>
    <w:rsid w:val="0067706C"/>
    <w:rsid w:val="006810E5"/>
    <w:rsid w:val="00685BD8"/>
    <w:rsid w:val="00690018"/>
    <w:rsid w:val="006963A4"/>
    <w:rsid w:val="006A1925"/>
    <w:rsid w:val="006A3952"/>
    <w:rsid w:val="006B49D5"/>
    <w:rsid w:val="006B69D8"/>
    <w:rsid w:val="006B7B09"/>
    <w:rsid w:val="006D03AC"/>
    <w:rsid w:val="006E2905"/>
    <w:rsid w:val="006F4D14"/>
    <w:rsid w:val="00707C66"/>
    <w:rsid w:val="00710566"/>
    <w:rsid w:val="00712A9F"/>
    <w:rsid w:val="007207B1"/>
    <w:rsid w:val="00722E9D"/>
    <w:rsid w:val="00733316"/>
    <w:rsid w:val="00735B6D"/>
    <w:rsid w:val="00736B1D"/>
    <w:rsid w:val="00751721"/>
    <w:rsid w:val="007558BF"/>
    <w:rsid w:val="00766B83"/>
    <w:rsid w:val="00767828"/>
    <w:rsid w:val="00776318"/>
    <w:rsid w:val="007777CB"/>
    <w:rsid w:val="00780A93"/>
    <w:rsid w:val="007B193E"/>
    <w:rsid w:val="007B19E4"/>
    <w:rsid w:val="007B614D"/>
    <w:rsid w:val="007B72BC"/>
    <w:rsid w:val="007C3E08"/>
    <w:rsid w:val="007C6D13"/>
    <w:rsid w:val="007C791C"/>
    <w:rsid w:val="007D1E15"/>
    <w:rsid w:val="007E3591"/>
    <w:rsid w:val="007E5241"/>
    <w:rsid w:val="007F1E44"/>
    <w:rsid w:val="007F464C"/>
    <w:rsid w:val="00804E57"/>
    <w:rsid w:val="00820119"/>
    <w:rsid w:val="00826CC2"/>
    <w:rsid w:val="00831DBC"/>
    <w:rsid w:val="00842E96"/>
    <w:rsid w:val="008457DA"/>
    <w:rsid w:val="008609B0"/>
    <w:rsid w:val="00864020"/>
    <w:rsid w:val="00876CE9"/>
    <w:rsid w:val="00880B78"/>
    <w:rsid w:val="00880E9F"/>
    <w:rsid w:val="008A1C27"/>
    <w:rsid w:val="008B4C8C"/>
    <w:rsid w:val="008C33FE"/>
    <w:rsid w:val="008D107B"/>
    <w:rsid w:val="008D61D9"/>
    <w:rsid w:val="008E5348"/>
    <w:rsid w:val="008E6EF5"/>
    <w:rsid w:val="008F4E7C"/>
    <w:rsid w:val="008F7240"/>
    <w:rsid w:val="009001A0"/>
    <w:rsid w:val="009052E8"/>
    <w:rsid w:val="0090536A"/>
    <w:rsid w:val="00905642"/>
    <w:rsid w:val="0090619E"/>
    <w:rsid w:val="009261C6"/>
    <w:rsid w:val="00941A4C"/>
    <w:rsid w:val="00941A86"/>
    <w:rsid w:val="009503B1"/>
    <w:rsid w:val="009512F9"/>
    <w:rsid w:val="00965ED2"/>
    <w:rsid w:val="00977DE5"/>
    <w:rsid w:val="009801E6"/>
    <w:rsid w:val="009862BA"/>
    <w:rsid w:val="009A3C6E"/>
    <w:rsid w:val="009A77BA"/>
    <w:rsid w:val="009B11A8"/>
    <w:rsid w:val="009B5E52"/>
    <w:rsid w:val="009B6F1C"/>
    <w:rsid w:val="009B7EFF"/>
    <w:rsid w:val="009C35FB"/>
    <w:rsid w:val="009C3D77"/>
    <w:rsid w:val="009D7842"/>
    <w:rsid w:val="009F3209"/>
    <w:rsid w:val="009F5C1D"/>
    <w:rsid w:val="00A00088"/>
    <w:rsid w:val="00A014AD"/>
    <w:rsid w:val="00A11E20"/>
    <w:rsid w:val="00A1549B"/>
    <w:rsid w:val="00A210F4"/>
    <w:rsid w:val="00A24C23"/>
    <w:rsid w:val="00A27F94"/>
    <w:rsid w:val="00A62511"/>
    <w:rsid w:val="00A700F1"/>
    <w:rsid w:val="00A74A12"/>
    <w:rsid w:val="00A858E0"/>
    <w:rsid w:val="00A87DDB"/>
    <w:rsid w:val="00A93DDD"/>
    <w:rsid w:val="00A95341"/>
    <w:rsid w:val="00AA0FD9"/>
    <w:rsid w:val="00AA2660"/>
    <w:rsid w:val="00AA7423"/>
    <w:rsid w:val="00AB6353"/>
    <w:rsid w:val="00AC11CC"/>
    <w:rsid w:val="00AC4621"/>
    <w:rsid w:val="00AC4A23"/>
    <w:rsid w:val="00AD1202"/>
    <w:rsid w:val="00AD132B"/>
    <w:rsid w:val="00AE60B3"/>
    <w:rsid w:val="00AE6931"/>
    <w:rsid w:val="00AE6FC2"/>
    <w:rsid w:val="00AF0218"/>
    <w:rsid w:val="00AF0EC2"/>
    <w:rsid w:val="00B0020C"/>
    <w:rsid w:val="00B062AC"/>
    <w:rsid w:val="00B11B40"/>
    <w:rsid w:val="00B11C68"/>
    <w:rsid w:val="00B12870"/>
    <w:rsid w:val="00B15EC0"/>
    <w:rsid w:val="00B26AAD"/>
    <w:rsid w:val="00B351B6"/>
    <w:rsid w:val="00B36AEA"/>
    <w:rsid w:val="00B45FE6"/>
    <w:rsid w:val="00B5054D"/>
    <w:rsid w:val="00B70FAC"/>
    <w:rsid w:val="00B7254E"/>
    <w:rsid w:val="00B90064"/>
    <w:rsid w:val="00B90948"/>
    <w:rsid w:val="00B95FD2"/>
    <w:rsid w:val="00BA19A6"/>
    <w:rsid w:val="00BB08BD"/>
    <w:rsid w:val="00BB1F0F"/>
    <w:rsid w:val="00BC4C93"/>
    <w:rsid w:val="00BD1DF4"/>
    <w:rsid w:val="00BD3012"/>
    <w:rsid w:val="00BD531E"/>
    <w:rsid w:val="00BD5967"/>
    <w:rsid w:val="00BE6187"/>
    <w:rsid w:val="00BE7197"/>
    <w:rsid w:val="00C049BB"/>
    <w:rsid w:val="00C10FD6"/>
    <w:rsid w:val="00C269CB"/>
    <w:rsid w:val="00C3087A"/>
    <w:rsid w:val="00C325E4"/>
    <w:rsid w:val="00C34749"/>
    <w:rsid w:val="00C3515C"/>
    <w:rsid w:val="00C37204"/>
    <w:rsid w:val="00C42DCC"/>
    <w:rsid w:val="00C6036B"/>
    <w:rsid w:val="00C70264"/>
    <w:rsid w:val="00C77D2B"/>
    <w:rsid w:val="00C83503"/>
    <w:rsid w:val="00C84AA8"/>
    <w:rsid w:val="00C84E28"/>
    <w:rsid w:val="00CA07A7"/>
    <w:rsid w:val="00CA2A5B"/>
    <w:rsid w:val="00CA335E"/>
    <w:rsid w:val="00CD2106"/>
    <w:rsid w:val="00CD2285"/>
    <w:rsid w:val="00CE1D6B"/>
    <w:rsid w:val="00CE3BA5"/>
    <w:rsid w:val="00CE5735"/>
    <w:rsid w:val="00CF039C"/>
    <w:rsid w:val="00D023D2"/>
    <w:rsid w:val="00D10D25"/>
    <w:rsid w:val="00D17694"/>
    <w:rsid w:val="00D2566B"/>
    <w:rsid w:val="00D27367"/>
    <w:rsid w:val="00D27C24"/>
    <w:rsid w:val="00D368FB"/>
    <w:rsid w:val="00D43D4C"/>
    <w:rsid w:val="00D467D3"/>
    <w:rsid w:val="00D501F3"/>
    <w:rsid w:val="00D55174"/>
    <w:rsid w:val="00D57D6C"/>
    <w:rsid w:val="00D61BED"/>
    <w:rsid w:val="00D65053"/>
    <w:rsid w:val="00D74FFA"/>
    <w:rsid w:val="00D80380"/>
    <w:rsid w:val="00D817BA"/>
    <w:rsid w:val="00D84C4A"/>
    <w:rsid w:val="00D910A1"/>
    <w:rsid w:val="00DA2143"/>
    <w:rsid w:val="00DB1A01"/>
    <w:rsid w:val="00DB2E86"/>
    <w:rsid w:val="00DB5EF0"/>
    <w:rsid w:val="00DC0DF3"/>
    <w:rsid w:val="00DC736B"/>
    <w:rsid w:val="00DE4F89"/>
    <w:rsid w:val="00DE6D2A"/>
    <w:rsid w:val="00DF6110"/>
    <w:rsid w:val="00DF697E"/>
    <w:rsid w:val="00DF6F0F"/>
    <w:rsid w:val="00E029C1"/>
    <w:rsid w:val="00E1673D"/>
    <w:rsid w:val="00E16747"/>
    <w:rsid w:val="00E275F8"/>
    <w:rsid w:val="00E43013"/>
    <w:rsid w:val="00E50B24"/>
    <w:rsid w:val="00E55F4E"/>
    <w:rsid w:val="00E563B7"/>
    <w:rsid w:val="00E7250A"/>
    <w:rsid w:val="00E75B1B"/>
    <w:rsid w:val="00E81A4D"/>
    <w:rsid w:val="00E95C01"/>
    <w:rsid w:val="00EA5CA6"/>
    <w:rsid w:val="00EB341F"/>
    <w:rsid w:val="00EB71DF"/>
    <w:rsid w:val="00EC534D"/>
    <w:rsid w:val="00ED5AFC"/>
    <w:rsid w:val="00EE1132"/>
    <w:rsid w:val="00EE37DA"/>
    <w:rsid w:val="00EF4573"/>
    <w:rsid w:val="00EF4718"/>
    <w:rsid w:val="00EF67B6"/>
    <w:rsid w:val="00F035C0"/>
    <w:rsid w:val="00F11293"/>
    <w:rsid w:val="00F15687"/>
    <w:rsid w:val="00F16EE0"/>
    <w:rsid w:val="00F24502"/>
    <w:rsid w:val="00F25DAE"/>
    <w:rsid w:val="00F33D22"/>
    <w:rsid w:val="00F36730"/>
    <w:rsid w:val="00F36D99"/>
    <w:rsid w:val="00F37166"/>
    <w:rsid w:val="00F40029"/>
    <w:rsid w:val="00F40291"/>
    <w:rsid w:val="00F44031"/>
    <w:rsid w:val="00F5367F"/>
    <w:rsid w:val="00F55F15"/>
    <w:rsid w:val="00F62339"/>
    <w:rsid w:val="00F6791A"/>
    <w:rsid w:val="00F702AC"/>
    <w:rsid w:val="00F711E4"/>
    <w:rsid w:val="00F721A9"/>
    <w:rsid w:val="00F733FC"/>
    <w:rsid w:val="00F85E39"/>
    <w:rsid w:val="00F87505"/>
    <w:rsid w:val="00F92531"/>
    <w:rsid w:val="00F926D5"/>
    <w:rsid w:val="00FA09C1"/>
    <w:rsid w:val="00FA219F"/>
    <w:rsid w:val="00FA685E"/>
    <w:rsid w:val="00FB0D83"/>
    <w:rsid w:val="00FB3235"/>
    <w:rsid w:val="00FC613B"/>
    <w:rsid w:val="00FD1788"/>
    <w:rsid w:val="00FD3487"/>
    <w:rsid w:val="00FD6C69"/>
    <w:rsid w:val="00FE1816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AD3C"/>
  <w15:docId w15:val="{9692FBCA-9950-4513-8856-6BC61BA5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02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normalnumber,head 2,Bullet L1,Colorful List - Accent 11,List Paragraph 1,List Paragraph11,bullet,My checklist,Bullet List,FooterText,numbered,Paragraphe de liste,VNA - List Paragraph,1.,lp1,lp11,Table Sequence,List A,Norm"/>
    <w:basedOn w:val="Normal"/>
    <w:link w:val="ListParagraphChar"/>
    <w:uiPriority w:val="34"/>
    <w:qFormat/>
    <w:rsid w:val="003131F1"/>
    <w:pPr>
      <w:ind w:left="720"/>
      <w:contextualSpacing/>
    </w:pPr>
  </w:style>
  <w:style w:type="character" w:styleId="Strong">
    <w:name w:val="Strong"/>
    <w:uiPriority w:val="22"/>
    <w:qFormat/>
    <w:rsid w:val="00A62511"/>
    <w:rPr>
      <w:b/>
      <w:bCs/>
    </w:rPr>
  </w:style>
  <w:style w:type="character" w:customStyle="1" w:styleId="ListParagraphChar">
    <w:name w:val="List Paragraph Char"/>
    <w:aliases w:val="List Paragraph1 Char,normalnumber Char,head 2 Char,Bullet L1 Char,Colorful List - Accent 11 Char,List Paragraph 1 Char,List Paragraph11 Char,bullet Char,My checklist Char,Bullet List Char,FooterText Char,numbered Char,1. Char"/>
    <w:link w:val="ListParagraph"/>
    <w:uiPriority w:val="34"/>
    <w:qFormat/>
    <w:rsid w:val="00A62511"/>
  </w:style>
  <w:style w:type="paragraph" w:styleId="Header">
    <w:name w:val="header"/>
    <w:basedOn w:val="Normal"/>
    <w:link w:val="Head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E4"/>
  </w:style>
  <w:style w:type="paragraph" w:styleId="Footer">
    <w:name w:val="footer"/>
    <w:basedOn w:val="Normal"/>
    <w:link w:val="FooterChar"/>
    <w:uiPriority w:val="99"/>
    <w:unhideWhenUsed/>
    <w:rsid w:val="007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E4"/>
  </w:style>
  <w:style w:type="character" w:customStyle="1" w:styleId="Heading2Char">
    <w:name w:val="Heading 2 Char"/>
    <w:basedOn w:val="DefaultParagraphFont"/>
    <w:link w:val="Heading2"/>
    <w:uiPriority w:val="9"/>
    <w:rsid w:val="00D023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ext-change-size">
    <w:name w:val="text-change-size"/>
    <w:basedOn w:val="Normal"/>
    <w:rsid w:val="00E43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F85E39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4448DE"/>
  </w:style>
  <w:style w:type="character" w:customStyle="1" w:styleId="Heading1Char">
    <w:name w:val="Heading 1 Char"/>
    <w:basedOn w:val="DefaultParagraphFont"/>
    <w:link w:val="Heading1"/>
    <w:uiPriority w:val="9"/>
    <w:rsid w:val="00F4029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858A5-7C86-46ED-B104-D4C2B923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 Van Anh</dc:creator>
  <cp:lastModifiedBy>Lien Phuong</cp:lastModifiedBy>
  <cp:revision>10</cp:revision>
  <dcterms:created xsi:type="dcterms:W3CDTF">2021-06-04T09:51:00Z</dcterms:created>
  <dcterms:modified xsi:type="dcterms:W3CDTF">2021-06-04T12:09:00Z</dcterms:modified>
</cp:coreProperties>
</file>